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1B00F" w14:textId="1B144F61" w:rsidR="00E80234" w:rsidRDefault="00E80234" w:rsidP="00E80234">
      <w:pPr>
        <w:jc w:val="center"/>
        <w:rPr>
          <w:rFonts w:ascii="Book Antiqua" w:hAnsi="Book Antiqua"/>
          <w:b/>
          <w:i/>
          <w:color w:val="FF0000"/>
          <w:sz w:val="28"/>
        </w:rPr>
      </w:pPr>
      <w:r w:rsidRPr="00E80234">
        <w:rPr>
          <w:rFonts w:ascii="Book Antiqua" w:hAnsi="Book Antiqua"/>
          <w:b/>
          <w:i/>
          <w:color w:val="FF0000"/>
          <w:sz w:val="28"/>
        </w:rPr>
        <w:t>Important Notice to Growers and Pesticide Applicators</w:t>
      </w:r>
    </w:p>
    <w:p w14:paraId="16EEEE2A" w14:textId="77777777" w:rsidR="00DD2C63" w:rsidRDefault="00DD2C63" w:rsidP="00E80234">
      <w:pPr>
        <w:jc w:val="center"/>
        <w:rPr>
          <w:rFonts w:ascii="Book Antiqua" w:hAnsi="Book Antiqua"/>
          <w:b/>
          <w:i/>
          <w:color w:val="FF0000"/>
          <w:sz w:val="28"/>
        </w:rPr>
      </w:pPr>
      <w:r>
        <w:rPr>
          <w:rFonts w:ascii="Book Antiqua" w:hAnsi="Book Antiqua"/>
          <w:b/>
          <w:i/>
          <w:color w:val="FF0000"/>
          <w:sz w:val="28"/>
        </w:rPr>
        <w:t>Provided by</w:t>
      </w:r>
    </w:p>
    <w:p w14:paraId="7536030B" w14:textId="17BBB3D7" w:rsidR="00DD2C63" w:rsidRPr="00E80234" w:rsidRDefault="00DD2C63" w:rsidP="00E80234">
      <w:pPr>
        <w:jc w:val="center"/>
        <w:rPr>
          <w:rFonts w:ascii="Book Antiqua" w:hAnsi="Book Antiqua"/>
          <w:b/>
          <w:i/>
          <w:color w:val="FF0000"/>
          <w:sz w:val="28"/>
        </w:rPr>
      </w:pPr>
      <w:bookmarkStart w:id="0" w:name="_GoBack"/>
      <w:bookmarkEnd w:id="0"/>
      <w:r>
        <w:rPr>
          <w:rFonts w:ascii="Book Antiqua" w:hAnsi="Book Antiqua"/>
          <w:b/>
          <w:i/>
          <w:color w:val="FF0000"/>
          <w:sz w:val="28"/>
        </w:rPr>
        <w:t xml:space="preserve"> Sacramento Valley Water Quality Coalition</w:t>
      </w:r>
    </w:p>
    <w:p w14:paraId="74EC0072" w14:textId="77777777" w:rsidR="00E80234" w:rsidRDefault="00E80234" w:rsidP="00E80234"/>
    <w:p w14:paraId="1CD9FCD1" w14:textId="0AC01F66" w:rsidR="00E80234" w:rsidRDefault="00E80234" w:rsidP="00E80234">
      <w:r>
        <w:t>On February 19, 2019 the Office of Administrative Law approved the Central Valley Basin Plan Amendment for</w:t>
      </w:r>
      <w:r>
        <w:rPr>
          <w:i/>
          <w:iCs/>
        </w:rPr>
        <w:t xml:space="preserve"> </w:t>
      </w:r>
      <w:hyperlink r:id="rId4" w:history="1">
        <w:r>
          <w:rPr>
            <w:rStyle w:val="Hyperlink"/>
            <w:i/>
            <w:iCs/>
          </w:rPr>
          <w:t>The Control of Pyrethroid Pesticides Discharges</w:t>
        </w:r>
      </w:hyperlink>
      <w:r>
        <w:rPr>
          <w:i/>
          <w:iCs/>
        </w:rPr>
        <w:t xml:space="preserve"> </w:t>
      </w:r>
      <w:r>
        <w:t xml:space="preserve">officially starting the clock on the Basin Plan’s provisions.  The goal of the Basin Plan Amendment </w:t>
      </w:r>
      <w:r w:rsidR="001B396F">
        <w:t>as</w:t>
      </w:r>
      <w:r w:rsidR="00862D77">
        <w:t xml:space="preserve"> it applies to irrigated agriculture is</w:t>
      </w:r>
      <w:r w:rsidRPr="006D429B">
        <w:t xml:space="preserve"> to establish measurable pyrethroid concentration </w:t>
      </w:r>
      <w:r w:rsidR="00862D77">
        <w:t xml:space="preserve">targets </w:t>
      </w:r>
      <w:r w:rsidRPr="006D429B">
        <w:t>and a program of implementation for the control of pyrethroid pesticides that are impacting</w:t>
      </w:r>
      <w:r w:rsidR="001B396F">
        <w:t>,</w:t>
      </w:r>
      <w:r w:rsidRPr="006D429B">
        <w:t xml:space="preserve"> or could potentially</w:t>
      </w:r>
      <w:r w:rsidR="001B396F">
        <w:t>,</w:t>
      </w:r>
      <w:r w:rsidRPr="006D429B">
        <w:t xml:space="preserve"> impact aquatic life uses in surface waters in the Sacramento and San Joaquin River watersheds of the Central Valley</w:t>
      </w:r>
      <w:r>
        <w:t>.</w:t>
      </w:r>
    </w:p>
    <w:p w14:paraId="71C4AAE0" w14:textId="03020682" w:rsidR="00E80234" w:rsidRDefault="00E80234" w:rsidP="00E80234">
      <w:r>
        <w:t xml:space="preserve">The </w:t>
      </w:r>
      <w:r w:rsidR="00862D77">
        <w:t>program of implementation</w:t>
      </w:r>
      <w:r>
        <w:t xml:space="preserve"> includes an initial </w:t>
      </w:r>
      <w:proofErr w:type="gramStart"/>
      <w:r>
        <w:t>2 year</w:t>
      </w:r>
      <w:proofErr w:type="gramEnd"/>
      <w:r>
        <w:t xml:space="preserve"> period to </w:t>
      </w:r>
      <w:r w:rsidR="00862D77">
        <w:t xml:space="preserve">conduct </w:t>
      </w:r>
      <w:r>
        <w:t>baseline monitoring in areas where pyrethroid levels have not been thoroughly assessed and a year following that to develop management plans</w:t>
      </w:r>
      <w:r w:rsidR="00A8264E">
        <w:t xml:space="preserve"> if triggered</w:t>
      </w:r>
      <w:r>
        <w:t>. The Sacramento Valley Water Quality Coalition has monitor</w:t>
      </w:r>
      <w:r w:rsidR="00862D77">
        <w:t>ed</w:t>
      </w:r>
      <w:r>
        <w:t xml:space="preserve"> six pyrethroids (</w:t>
      </w:r>
      <w:r w:rsidR="00D37012">
        <w:t xml:space="preserve">see </w:t>
      </w:r>
      <w:r w:rsidR="00D37012">
        <w:rPr>
          <w:b/>
        </w:rPr>
        <w:t>Table 1 below)</w:t>
      </w:r>
      <w:r>
        <w:t>) in 2018</w:t>
      </w:r>
      <w:r w:rsidR="00862D77">
        <w:t>, and</w:t>
      </w:r>
      <w:r w:rsidR="001B396F">
        <w:t xml:space="preserve"> </w:t>
      </w:r>
      <w:proofErr w:type="gramStart"/>
      <w:r w:rsidR="00D37012">
        <w:t xml:space="preserve">2019 </w:t>
      </w:r>
      <w:r>
        <w:t xml:space="preserve"> some</w:t>
      </w:r>
      <w:proofErr w:type="gramEnd"/>
      <w:r>
        <w:t xml:space="preserve"> </w:t>
      </w:r>
      <w:r w:rsidR="00862D77">
        <w:t xml:space="preserve">of </w:t>
      </w:r>
      <w:r w:rsidR="001B396F">
        <w:t>the</w:t>
      </w:r>
      <w:r w:rsidR="00862D77">
        <w:t xml:space="preserve"> </w:t>
      </w:r>
      <w:r>
        <w:t>results  exceed the</w:t>
      </w:r>
      <w:r w:rsidR="00E43D9A">
        <w:t xml:space="preserve"> </w:t>
      </w:r>
      <w:r w:rsidR="00D37012">
        <w:t xml:space="preserve">UC Davis acute and chronic </w:t>
      </w:r>
      <w:proofErr w:type="spellStart"/>
      <w:r w:rsidR="00D37012">
        <w:t>exporsure</w:t>
      </w:r>
      <w:proofErr w:type="spellEnd"/>
      <w:r w:rsidR="00D37012">
        <w:t xml:space="preserve"> 5</w:t>
      </w:r>
      <w:r w:rsidR="00D37012" w:rsidRPr="00D37012">
        <w:rPr>
          <w:vertAlign w:val="superscript"/>
        </w:rPr>
        <w:t>th</w:t>
      </w:r>
      <w:r w:rsidR="00D37012">
        <w:t xml:space="preserve"> percentile </w:t>
      </w:r>
      <w:r>
        <w:t xml:space="preserve"> </w:t>
      </w:r>
      <w:r w:rsidR="00A8264E">
        <w:t xml:space="preserve">pyrethroid </w:t>
      </w:r>
      <w:r>
        <w:t xml:space="preserve">concentration goals </w:t>
      </w:r>
      <w:r w:rsidR="00A8264E">
        <w:t xml:space="preserve"> identified </w:t>
      </w:r>
      <w:r w:rsidR="00862D77">
        <w:t>in the program of implementation</w:t>
      </w:r>
      <w:r>
        <w:t xml:space="preserve">. </w:t>
      </w:r>
      <w:r w:rsidR="00A8264E">
        <w:t xml:space="preserve">Exceedance of a single pyrethroid concentration goal is not, however, the trigger for a management plan under the program of implementation. Rather, there are acute and chronic pyrethroid triggers that are additive of the six pesticides. If the sum of the </w:t>
      </w:r>
      <w:proofErr w:type="spellStart"/>
      <w:r w:rsidR="00A8264E">
        <w:t>pyrethoids</w:t>
      </w:r>
      <w:proofErr w:type="spellEnd"/>
      <w:r w:rsidR="00A8264E">
        <w:t xml:space="preserve"> exceeds one</w:t>
      </w:r>
      <w:r w:rsidR="00D37012">
        <w:t xml:space="preserve"> (1) concentration goal unit (CGU)</w:t>
      </w:r>
      <w:r w:rsidR="00A8264E">
        <w:t xml:space="preserve">, then there is an exceedance of the </w:t>
      </w:r>
      <w:r w:rsidR="00D37012">
        <w:t xml:space="preserve">additive pyrethroid pesticides </w:t>
      </w:r>
      <w:r w:rsidR="00A8264E">
        <w:t xml:space="preserve">numeric trigger and a management plan for that watershed or </w:t>
      </w:r>
      <w:proofErr w:type="spellStart"/>
      <w:r w:rsidR="00A8264E">
        <w:t>subwatershed</w:t>
      </w:r>
      <w:proofErr w:type="spellEnd"/>
      <w:r w:rsidR="00A8264E">
        <w:t xml:space="preserve"> is required. Notably, the concentration goals and the additive triggers are not water quality objectives but triggers for management plans. </w:t>
      </w:r>
      <w:r>
        <w:tab/>
        <w:t xml:space="preserve"> </w:t>
      </w:r>
    </w:p>
    <w:p w14:paraId="20DC421F" w14:textId="77777777" w:rsidR="00E80234" w:rsidRDefault="00E80234" w:rsidP="00E80234"/>
    <w:p w14:paraId="3CE164B9" w14:textId="77777777" w:rsidR="00E80234" w:rsidRDefault="00E80234" w:rsidP="00E80234">
      <w:r>
        <w:tab/>
      </w:r>
      <w:r>
        <w:tab/>
      </w:r>
      <w:r>
        <w:tab/>
      </w:r>
      <w:r>
        <w:rPr>
          <w:noProof/>
        </w:rPr>
        <w:drawing>
          <wp:inline distT="0" distB="0" distL="0" distR="0" wp14:anchorId="3489B1F5" wp14:editId="217CCE8F">
            <wp:extent cx="3086100" cy="1466850"/>
            <wp:effectExtent l="0" t="0" r="0" b="0"/>
            <wp:docPr id="1" name="Picture 1" descr="cid:image002.jpg@01D4CA7F.9853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CA7F.9853247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086100" cy="1466850"/>
                    </a:xfrm>
                    <a:prstGeom prst="rect">
                      <a:avLst/>
                    </a:prstGeom>
                    <a:noFill/>
                    <a:ln>
                      <a:noFill/>
                    </a:ln>
                  </pic:spPr>
                </pic:pic>
              </a:graphicData>
            </a:graphic>
          </wp:inline>
        </w:drawing>
      </w:r>
    </w:p>
    <w:p w14:paraId="2DE1CF4C" w14:textId="3A5AB4D2" w:rsidR="00E80234" w:rsidRDefault="00E80234" w:rsidP="00E80234">
      <w:r w:rsidRPr="005C4826">
        <w:rPr>
          <w:b/>
          <w:color w:val="FF0000"/>
          <w:u w:val="single"/>
        </w:rPr>
        <w:t xml:space="preserve">It is important to continue to </w:t>
      </w:r>
      <w:r w:rsidR="0069691D">
        <w:rPr>
          <w:b/>
          <w:color w:val="FF0000"/>
          <w:u w:val="single"/>
        </w:rPr>
        <w:t xml:space="preserve">diligently </w:t>
      </w:r>
      <w:r w:rsidRPr="005C4826">
        <w:rPr>
          <w:b/>
          <w:color w:val="FF0000"/>
          <w:u w:val="single"/>
        </w:rPr>
        <w:t>implement effective agricultural management practices</w:t>
      </w:r>
      <w:r w:rsidRPr="005C4826">
        <w:rPr>
          <w:color w:val="FF0000"/>
        </w:rPr>
        <w:t xml:space="preserve"> </w:t>
      </w:r>
      <w:r>
        <w:t xml:space="preserve">to control pyrethroids, including source control efforts, improved pest management and use of alternative pesticides to reduce pyrethroid use, application practices that reduce potential for overspray and drift, and practices that reduce or slow runoff, and reduce or capture sediments in runoff such as vegetation and improved water management.  These practices are generally effective, but whether the practices will result in consistent attainment of pyrethroid concentrations below the values being considered as triggers is not known. </w:t>
      </w:r>
    </w:p>
    <w:p w14:paraId="4ADA5207" w14:textId="77777777" w:rsidR="002E4D8C" w:rsidRDefault="002E4D8C"/>
    <w:sectPr w:rsidR="002E4D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234"/>
    <w:rsid w:val="00111BD3"/>
    <w:rsid w:val="001B396F"/>
    <w:rsid w:val="002A6AF3"/>
    <w:rsid w:val="002E4D8C"/>
    <w:rsid w:val="005C6B79"/>
    <w:rsid w:val="0069691D"/>
    <w:rsid w:val="00862D77"/>
    <w:rsid w:val="00895C4F"/>
    <w:rsid w:val="00A8264E"/>
    <w:rsid w:val="00D37012"/>
    <w:rsid w:val="00DD2C63"/>
    <w:rsid w:val="00E43D9A"/>
    <w:rsid w:val="00E80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2A510"/>
  <w15:chartTrackingRefBased/>
  <w15:docId w15:val="{10965F0F-3FF8-4BCC-A870-BE0E55FB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02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0234"/>
    <w:rPr>
      <w:color w:val="0563C1"/>
      <w:u w:val="single"/>
    </w:rPr>
  </w:style>
  <w:style w:type="character" w:styleId="CommentReference">
    <w:name w:val="annotation reference"/>
    <w:basedOn w:val="DefaultParagraphFont"/>
    <w:uiPriority w:val="99"/>
    <w:semiHidden/>
    <w:unhideWhenUsed/>
    <w:rsid w:val="00862D77"/>
    <w:rPr>
      <w:sz w:val="16"/>
      <w:szCs w:val="16"/>
    </w:rPr>
  </w:style>
  <w:style w:type="paragraph" w:styleId="CommentText">
    <w:name w:val="annotation text"/>
    <w:basedOn w:val="Normal"/>
    <w:link w:val="CommentTextChar"/>
    <w:uiPriority w:val="99"/>
    <w:semiHidden/>
    <w:unhideWhenUsed/>
    <w:rsid w:val="00862D77"/>
    <w:pPr>
      <w:spacing w:line="240" w:lineRule="auto"/>
    </w:pPr>
    <w:rPr>
      <w:sz w:val="20"/>
      <w:szCs w:val="20"/>
    </w:rPr>
  </w:style>
  <w:style w:type="character" w:customStyle="1" w:styleId="CommentTextChar">
    <w:name w:val="Comment Text Char"/>
    <w:basedOn w:val="DefaultParagraphFont"/>
    <w:link w:val="CommentText"/>
    <w:uiPriority w:val="99"/>
    <w:semiHidden/>
    <w:rsid w:val="00862D77"/>
    <w:rPr>
      <w:sz w:val="20"/>
      <w:szCs w:val="20"/>
    </w:rPr>
  </w:style>
  <w:style w:type="paragraph" w:styleId="CommentSubject">
    <w:name w:val="annotation subject"/>
    <w:basedOn w:val="CommentText"/>
    <w:next w:val="CommentText"/>
    <w:link w:val="CommentSubjectChar"/>
    <w:uiPriority w:val="99"/>
    <w:semiHidden/>
    <w:unhideWhenUsed/>
    <w:rsid w:val="00862D77"/>
    <w:rPr>
      <w:b/>
      <w:bCs/>
    </w:rPr>
  </w:style>
  <w:style w:type="character" w:customStyle="1" w:styleId="CommentSubjectChar">
    <w:name w:val="Comment Subject Char"/>
    <w:basedOn w:val="CommentTextChar"/>
    <w:link w:val="CommentSubject"/>
    <w:uiPriority w:val="99"/>
    <w:semiHidden/>
    <w:rsid w:val="00862D77"/>
    <w:rPr>
      <w:b/>
      <w:bCs/>
      <w:sz w:val="20"/>
      <w:szCs w:val="20"/>
    </w:rPr>
  </w:style>
  <w:style w:type="paragraph" w:styleId="BalloonText">
    <w:name w:val="Balloon Text"/>
    <w:basedOn w:val="Normal"/>
    <w:link w:val="BalloonTextChar"/>
    <w:uiPriority w:val="99"/>
    <w:semiHidden/>
    <w:unhideWhenUsed/>
    <w:rsid w:val="00862D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D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2.jpg@01D4CA7F.98532470" TargetMode="External"/><Relationship Id="rId5" Type="http://schemas.openxmlformats.org/officeDocument/2006/relationships/image" Target="media/image1.jpeg"/><Relationship Id="rId4" Type="http://schemas.openxmlformats.org/officeDocument/2006/relationships/hyperlink" Target="https://www.waterboards.ca.gov/centralvalley/water_issues/tmdl/central_valley_projects/central_valley_pesticides/pyrethroid_tmdl_bpa/2017_0608_pyrbpa_staffrp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2232</Characters>
  <Application>Microsoft Office Word</Application>
  <DocSecurity>0</DocSecurity>
  <PresentationFormat>15|.DOCX</PresentationFormat>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Houdesheldt</dc:creator>
  <cp:keywords/>
  <dc:description/>
  <cp:lastModifiedBy>Roberta Firoved</cp:lastModifiedBy>
  <cp:revision>3</cp:revision>
  <dcterms:created xsi:type="dcterms:W3CDTF">2019-05-15T23:16:00Z</dcterms:created>
  <dcterms:modified xsi:type="dcterms:W3CDTF">2019-05-15T23:18:00Z</dcterms:modified>
</cp:coreProperties>
</file>